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6E" w:rsidRPr="00DD506E" w:rsidRDefault="00DD506E" w:rsidP="00DD506E">
      <w:pPr>
        <w:spacing w:after="150" w:line="240" w:lineRule="auto"/>
        <w:jc w:val="center"/>
        <w:outlineLvl w:val="1"/>
        <w:rPr>
          <w:rFonts w:ascii="Arial" w:eastAsia="Times New Roman" w:hAnsi="Arial" w:cs="Arial"/>
          <w:b/>
          <w:bCs/>
          <w:color w:val="A00000"/>
          <w:sz w:val="27"/>
          <w:szCs w:val="27"/>
          <w:lang w:eastAsia="ru-RU"/>
        </w:rPr>
      </w:pPr>
      <w:bookmarkStart w:id="0" w:name="_GoBack"/>
      <w:r w:rsidRPr="00DD506E">
        <w:rPr>
          <w:rFonts w:ascii="Arial" w:eastAsia="Times New Roman" w:hAnsi="Arial" w:cs="Arial"/>
          <w:b/>
          <w:bCs/>
          <w:color w:val="A00000"/>
          <w:sz w:val="27"/>
          <w:szCs w:val="27"/>
          <w:lang w:eastAsia="ru-RU"/>
        </w:rPr>
        <w:t>КЛИНИЧЕСКИЕ РЕКОМЕНДАЦИИ (ПРОТОКОЛЫ ЛЕЧЕНИЯ)</w:t>
      </w:r>
    </w:p>
    <w:p w:rsidR="00DD506E" w:rsidRPr="00DD506E" w:rsidRDefault="00DD506E" w:rsidP="00DD506E">
      <w:pPr>
        <w:spacing w:after="150" w:line="240" w:lineRule="auto"/>
        <w:jc w:val="center"/>
        <w:outlineLvl w:val="0"/>
        <w:rPr>
          <w:rFonts w:ascii="Arial" w:eastAsia="Times New Roman" w:hAnsi="Arial" w:cs="Arial"/>
          <w:b/>
          <w:bCs/>
          <w:color w:val="C00000"/>
          <w:kern w:val="36"/>
          <w:sz w:val="32"/>
          <w:szCs w:val="32"/>
          <w:lang w:eastAsia="ru-RU"/>
        </w:rPr>
      </w:pPr>
      <w:r w:rsidRPr="00DD506E">
        <w:rPr>
          <w:rFonts w:ascii="Arial" w:eastAsia="Times New Roman" w:hAnsi="Arial" w:cs="Arial"/>
          <w:b/>
          <w:bCs/>
          <w:color w:val="C00000"/>
          <w:kern w:val="36"/>
          <w:sz w:val="32"/>
          <w:szCs w:val="32"/>
          <w:lang w:eastAsia="ru-RU"/>
        </w:rPr>
        <w:t>ЭРИТРОПЛАКИЯ</w:t>
      </w:r>
      <w:bookmarkEnd w:id="0"/>
    </w:p>
    <w:p w:rsidR="00DD506E" w:rsidRPr="00DD506E" w:rsidRDefault="00DD506E" w:rsidP="00DD506E">
      <w:pPr>
        <w:spacing w:after="150" w:line="240" w:lineRule="auto"/>
        <w:jc w:val="center"/>
        <w:outlineLvl w:val="2"/>
        <w:rPr>
          <w:rFonts w:ascii="Arial" w:eastAsia="Times New Roman" w:hAnsi="Arial" w:cs="Arial"/>
          <w:b/>
          <w:bCs/>
          <w:color w:val="904030"/>
          <w:sz w:val="23"/>
          <w:szCs w:val="23"/>
          <w:lang w:eastAsia="ru-RU"/>
        </w:rPr>
      </w:pPr>
      <w:r w:rsidRPr="00DD506E">
        <w:rPr>
          <w:rFonts w:ascii="Arial" w:eastAsia="Times New Roman" w:hAnsi="Arial" w:cs="Arial"/>
          <w:b/>
          <w:bCs/>
          <w:color w:val="904030"/>
          <w:sz w:val="23"/>
          <w:szCs w:val="23"/>
          <w:lang w:eastAsia="ru-RU"/>
        </w:rPr>
        <w:t>Москва 2013</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Клинические рекомендации (протокол лечения) при заболевании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I. ОБЛАСТЬ ПРИМЕНЕНИЯ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предназначен для применения в системе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здравоохранения Российской Федерации.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II. НОРМАТИВНЫЕ ССЫЛКИ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III.ОБОЗНАЧЕНИЯ И СОКРАЩЕНИЯ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настоящем протоколе использованы следующие обозначения и сокращения: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ВОЗ – Всемирная Организация Здравоохранения.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СОР – Слизистая оболочка рта.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ФДТ – Фотодинамическая терапия.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ОКТ - Оптическая когерентная томография.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IV. ОБЩИЕ ПОЛОЖЕНИЯ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разработан для решения следующих задач:</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эритроплакией;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A)</w:t>
      </w:r>
      <w:r w:rsidRPr="00DD506E">
        <w:rPr>
          <w:rFonts w:ascii="Arial" w:eastAsia="Times New Roman" w:hAnsi="Arial" w:cs="Arial"/>
          <w:color w:val="000000"/>
          <w:sz w:val="21"/>
          <w:szCs w:val="21"/>
          <w:lang w:eastAsia="ru-RU"/>
        </w:rPr>
        <w:t> Доказательства убедительны: есть веские доказательства предлагаемому утверждению.</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B)</w:t>
      </w:r>
      <w:r w:rsidRPr="00DD506E">
        <w:rPr>
          <w:rFonts w:ascii="Arial" w:eastAsia="Times New Roman" w:hAnsi="Arial" w:cs="Arial"/>
          <w:color w:val="000000"/>
          <w:sz w:val="21"/>
          <w:szCs w:val="21"/>
          <w:lang w:eastAsia="ru-RU"/>
        </w:rPr>
        <w:t> Относительная убедительность доказательств: есть достаточно доказательств в пользу того, чтобы рекомендовать данное предложение.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C)</w:t>
      </w:r>
      <w:r w:rsidRPr="00DD506E">
        <w:rPr>
          <w:rFonts w:ascii="Arial" w:eastAsia="Times New Roman" w:hAnsi="Arial" w:cs="Arial"/>
          <w:color w:val="000000"/>
          <w:sz w:val="21"/>
          <w:szCs w:val="21"/>
          <w:lang w:eastAsia="ru-RU"/>
        </w:rPr>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D)</w:t>
      </w:r>
      <w:r w:rsidRPr="00DD506E">
        <w:rPr>
          <w:rFonts w:ascii="Arial" w:eastAsia="Times New Roman" w:hAnsi="Arial" w:cs="Arial"/>
          <w:color w:val="000000"/>
          <w:sz w:val="21"/>
          <w:szCs w:val="21"/>
          <w:lang w:eastAsia="ru-RU"/>
        </w:rPr>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E)</w:t>
      </w:r>
      <w:r w:rsidRPr="00DD506E">
        <w:rPr>
          <w:rFonts w:ascii="Arial" w:eastAsia="Times New Roman" w:hAnsi="Arial" w:cs="Arial"/>
          <w:color w:val="000000"/>
          <w:sz w:val="21"/>
          <w:szCs w:val="21"/>
          <w:lang w:eastAsia="ru-RU"/>
        </w:rPr>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V. ВЕДЕНИЕ ПРОТОКОЛА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VI. ОБЩИЕ ВОПРОСЫ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ОПРЕДЕЛЕНИЕ ПОНЯТИЯ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ЭТИОЛОГИЯ И ПАТОГЕНЕЗ</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xml:space="preserve">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w:t>
      </w:r>
      <w:r w:rsidRPr="00DD506E">
        <w:rPr>
          <w:rFonts w:ascii="Arial" w:eastAsia="Times New Roman" w:hAnsi="Arial" w:cs="Arial"/>
          <w:color w:val="000000"/>
          <w:sz w:val="21"/>
          <w:szCs w:val="21"/>
          <w:lang w:eastAsia="ru-RU"/>
        </w:rPr>
        <w:lastRenderedPageBreak/>
        <w:t>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КЛИНИЧЕСКАЯ КАРТИНА ЭРИТРОПЛАКИИ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КЛАССИФИКАЦИЯ ЭРИТРОПЛАКИИ по МКБ-C:</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КЛАСС XI: БОЛЕЗНИ ОРГАНОВ ПИЩЕВАРЕНИЯ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K13.22 Эритроплакия.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ОБЩИЕ ПОДХОДЫ К ДИАГНОСТИКЕ ЭРИТРОПЛАКИИ.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отказ от лечения.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Для диагностики используют дополнительные методы исследования.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ОБЩИЕ ПОДХОДЫ К ЛЕЧЕНИЮ ЭРИТРОПЛАКИИ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Принципы лечения больных с эритроплакией и красной каймы губ предусматривают одновременное решение нескольких задач:</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устранение или уменьшение очага эритроплакии;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повышение общей резистентности организма;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повышение качества жизни пациента;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Лечение эритроплакии включает:</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составление плана лечения;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санация рта;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хирургическое лечение;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физиотерапевтическое лечение по потребности;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лекарственная терапия.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ОРГАНИЗАЦИЯ МЕДИЦИНСКОЙ ПОМОЩИ ПАЦИЕНТАМ С ЭРИТРОПЛАКИЕЙ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DD506E" w:rsidRPr="00DD506E" w:rsidRDefault="00DD506E" w:rsidP="00DD506E">
      <w:pPr>
        <w:spacing w:after="0" w:line="240" w:lineRule="auto"/>
        <w:rPr>
          <w:rFonts w:ascii="Times New Roman" w:eastAsia="Times New Roman" w:hAnsi="Times New Roman" w:cs="Times New Roman"/>
          <w:sz w:val="24"/>
          <w:szCs w:val="24"/>
          <w:lang w:eastAsia="ru-RU"/>
        </w:rPr>
      </w:pPr>
      <w:r w:rsidRPr="00DD506E">
        <w:rPr>
          <w:rFonts w:ascii="Arial" w:eastAsia="Times New Roman" w:hAnsi="Arial" w:cs="Arial"/>
          <w:color w:val="000000"/>
          <w:sz w:val="21"/>
          <w:szCs w:val="21"/>
          <w:lang w:eastAsia="ru-RU"/>
        </w:rPr>
        <w:br w:type="textWrapping" w:clear="all"/>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VII. ХАРАКТЕРИСТИКА ТРЕБОВАНИЙ ПРОТОКОЛА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 Модель пациента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Нозологическая форма:</w:t>
      </w:r>
      <w:r w:rsidRPr="00DD506E">
        <w:rPr>
          <w:rFonts w:ascii="Arial" w:eastAsia="Times New Roman" w:hAnsi="Arial" w:cs="Arial"/>
          <w:color w:val="000000"/>
          <w:sz w:val="21"/>
          <w:szCs w:val="21"/>
          <w:lang w:eastAsia="ru-RU"/>
        </w:rPr>
        <w:t> эритроплакия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Стадия:</w:t>
      </w:r>
      <w:r w:rsidRPr="00DD506E">
        <w:rPr>
          <w:rFonts w:ascii="Arial" w:eastAsia="Times New Roman" w:hAnsi="Arial" w:cs="Arial"/>
          <w:color w:val="000000"/>
          <w:sz w:val="21"/>
          <w:szCs w:val="21"/>
          <w:lang w:eastAsia="ru-RU"/>
        </w:rPr>
        <w:t> любая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Фаза:</w:t>
      </w:r>
      <w:r w:rsidRPr="00DD506E">
        <w:rPr>
          <w:rFonts w:ascii="Arial" w:eastAsia="Times New Roman" w:hAnsi="Arial" w:cs="Arial"/>
          <w:color w:val="000000"/>
          <w:sz w:val="21"/>
          <w:szCs w:val="21"/>
          <w:lang w:eastAsia="ru-RU"/>
        </w:rPr>
        <w:t> стабильное течение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Осложнение:</w:t>
      </w:r>
      <w:r w:rsidRPr="00DD506E">
        <w:rPr>
          <w:rFonts w:ascii="Arial" w:eastAsia="Times New Roman" w:hAnsi="Arial" w:cs="Arial"/>
          <w:color w:val="000000"/>
          <w:sz w:val="21"/>
          <w:szCs w:val="21"/>
          <w:lang w:eastAsia="ru-RU"/>
        </w:rPr>
        <w:t> без осложнений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Код по МКБ-С:</w:t>
      </w:r>
      <w:r w:rsidRPr="00DD506E">
        <w:rPr>
          <w:rFonts w:ascii="Arial" w:eastAsia="Times New Roman" w:hAnsi="Arial" w:cs="Arial"/>
          <w:color w:val="000000"/>
          <w:sz w:val="21"/>
          <w:szCs w:val="21"/>
          <w:lang w:eastAsia="ru-RU"/>
        </w:rPr>
        <w:t> K13.22</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7.11.1. Критерии и признаки, определяющие модель пациента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1.</w:t>
      </w:r>
      <w:r w:rsidRPr="00DD506E">
        <w:rPr>
          <w:rFonts w:ascii="Arial" w:eastAsia="Times New Roman" w:hAnsi="Arial" w:cs="Arial"/>
          <w:color w:val="000000"/>
          <w:sz w:val="21"/>
          <w:szCs w:val="21"/>
          <w:lang w:eastAsia="ru-RU"/>
        </w:rPr>
        <w:t> Основной морфологический элемент гиперемированное пятно в сочетании с бляшкой.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lastRenderedPageBreak/>
        <w:t>2.</w:t>
      </w:r>
      <w:r w:rsidRPr="00DD506E">
        <w:rPr>
          <w:rFonts w:ascii="Arial" w:eastAsia="Times New Roman" w:hAnsi="Arial" w:cs="Arial"/>
          <w:color w:val="000000"/>
          <w:sz w:val="21"/>
          <w:szCs w:val="21"/>
          <w:lang w:eastAsia="ru-RU"/>
        </w:rPr>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3.</w:t>
      </w:r>
      <w:r w:rsidRPr="00DD506E">
        <w:rPr>
          <w:rFonts w:ascii="Arial" w:eastAsia="Times New Roman" w:hAnsi="Arial" w:cs="Arial"/>
          <w:color w:val="000000"/>
          <w:sz w:val="21"/>
          <w:szCs w:val="21"/>
          <w:lang w:eastAsia="ru-RU"/>
        </w:rPr>
        <w:t> Наблюдаются плоские очаги, состоящие из красных неороговевающих участков (эритроплакии) и наличие возможных очагов лейкоплакии.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4.</w:t>
      </w:r>
      <w:r w:rsidRPr="00DD506E">
        <w:rPr>
          <w:rFonts w:ascii="Arial" w:eastAsia="Times New Roman" w:hAnsi="Arial" w:cs="Arial"/>
          <w:color w:val="000000"/>
          <w:sz w:val="21"/>
          <w:szCs w:val="21"/>
          <w:lang w:eastAsia="ru-RU"/>
        </w:rPr>
        <w:t> Отмечаются мелкие пятна с нечеткими границами и красновато-розоватой окраской.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5.</w:t>
      </w:r>
      <w:r w:rsidRPr="00DD506E">
        <w:rPr>
          <w:rFonts w:ascii="Arial" w:eastAsia="Times New Roman" w:hAnsi="Arial" w:cs="Arial"/>
          <w:color w:val="000000"/>
          <w:sz w:val="21"/>
          <w:szCs w:val="21"/>
          <w:lang w:eastAsia="ru-RU"/>
        </w:rPr>
        <w:t> Гистологически - гиперваскуляризация субэпителиальной ткани без выраженного гиперкератоза. Большая степень дисплазии эпителия.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6.</w:t>
      </w:r>
      <w:r w:rsidRPr="00DD506E">
        <w:rPr>
          <w:rFonts w:ascii="Arial" w:eastAsia="Times New Roman" w:hAnsi="Arial" w:cs="Arial"/>
          <w:color w:val="000000"/>
          <w:sz w:val="21"/>
          <w:szCs w:val="21"/>
          <w:lang w:eastAsia="ru-RU"/>
        </w:rPr>
        <w:t> Высокий риск малигнизации.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7.1.2. Порядок включения пациента в протокол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285"/>
        <w:gridCol w:w="1878"/>
      </w:tblGrid>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Кратность выполнения</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bl>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i/>
          <w:iCs/>
          <w:color w:val="000000"/>
          <w:sz w:val="21"/>
          <w:szCs w:val="21"/>
          <w:lang w:eastAsia="ru-RU"/>
        </w:rPr>
        <w:t>Сбор анамнеза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Проводят пальпацию, перкуссию, определение подвижности зубов, обследование тканей пародонта (приложение 5).</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Из дополнительных методов обследования используют цитологическое, иммуногистохимическое, гистологическое исследования (приложение 7).</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Согласно алгоритму</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bl>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7.1.6.1. Физиотерапевтическое лечение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7.1.6.2. Хирургическое лечение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Кратность (продолжительность лечения)</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Витаминотерапия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потребности</w:t>
            </w:r>
          </w:p>
        </w:tc>
      </w:tr>
    </w:tbl>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Местно назначают кератопластические средства, витамины, препараты, улучшающие трофику тканей.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7.1.9. Требования к режиму труда, отдыха, лечения и реабилитации </w:t>
      </w:r>
      <w:r w:rsidRPr="00DD506E">
        <w:rPr>
          <w:rFonts w:ascii="Arial" w:eastAsia="Times New Roman" w:hAnsi="Arial" w:cs="Arial"/>
          <w:color w:val="000000"/>
          <w:sz w:val="21"/>
          <w:szCs w:val="21"/>
          <w:lang w:eastAsia="ru-RU"/>
        </w:rPr>
        <w:t>Специальных требований нет.</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Специальных требований нет.</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7.1.11. Требования к диетическим назначениям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DD506E">
        <w:rPr>
          <w:rFonts w:ascii="Arial" w:eastAsia="Times New Roman" w:hAnsi="Arial" w:cs="Arial"/>
          <w:color w:val="000000"/>
          <w:sz w:val="21"/>
          <w:szCs w:val="21"/>
          <w:lang w:eastAsia="ru-RU"/>
        </w:rPr>
        <w:t>(приложение 10).</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(приложение 11).</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 раздела протокола лечения больных, соответствующего ведению «эритроплакия»;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4"/>
        <w:gridCol w:w="859"/>
        <w:gridCol w:w="2574"/>
        <w:gridCol w:w="1983"/>
        <w:gridCol w:w="2275"/>
      </w:tblGrid>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Часто-та разви-тия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Преемствен-ность и этапность оказания медицинской помощи</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Профилакти-ческий осмотр не реже 2 раз в год</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Динамическое наблюдение</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DD506E" w:rsidRPr="00DD506E" w:rsidTr="00DD506E">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Озлакачествление.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7.1.16. Стоимостные характеристики Протокола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Не требуется.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IX. МОНИТОРИРОВАНИЕ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Мониторирование включает в себя: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-сбор информации: о ведении пациентов с эритроплакией в лечебно-профилактических учреждениях всех уровней;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-анализ полученных данных;</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-составление отчета о результатах проведенного анализа;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-представление отчета группе разработчиков Протокола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Исходными данными при мониторировании являются: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тарифы на медицинские услуги;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ПРИНЦИПЫ РАНДОМИЗАЦИИ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ПОРЯДОК ИСКЛЮЧЕНИЯ ПАЦИЕНТА ИЗ МОНИТОРИРОВАНИЯ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ПРОМЕЖУТОЧНАЯ ОЦЕНКА И ВНЕСЕНИЕ ИЗМЕНЕНИЙ В ПРОТОКОЛ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ПАРАМЕТРЫ ОЦЕНКИ КАЧЕСТВА ЖИЗНИ ПРИ ВЫПОЛНЕНИИ ПРОТОКОЛА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Для оценки качества жизни пациента с эритроплакией, соответствующей моделям протокола, используют аналоговую шкалу.</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ОЦЕНКА СТОИМОСТИ ВЫПОЛНЕНИЯ ПРОТОКОЛА И ЦЕНЫ КАЧЕСТВА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СРАВНЕНИЕ РЕЗУЛЬТАТОВ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ПОРЯДОК ФОРМИРОВАНИЯ ОТЧЕТА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1</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Обязательный ассортимент:</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 Автоклав (стерилизатор паровой),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 Аквадистиллятор (медицинский),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 Автоклав для наконечников (стерилизатор паровой настольный)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4. Аппарат воздушно-абразивный для снятия зубных отложений;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5. Аппарат для снятия зубных отложений ультразвуковой (скейлер);</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6. Аспиратор (отсасыватель) хирургический,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8. Диатермокоагулятор;</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9. Инструменты стоматологические (мелкие):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боры,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 полиры,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финиры;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10. Инкубатор для проведения микробиологических тестов (CO</w:t>
      </w:r>
      <w:r w:rsidRPr="00DD506E">
        <w:rPr>
          <w:rFonts w:ascii="Arial" w:eastAsia="Times New Roman" w:hAnsi="Arial" w:cs="Arial"/>
          <w:color w:val="000000"/>
          <w:sz w:val="21"/>
          <w:szCs w:val="21"/>
          <w:vertAlign w:val="subscript"/>
          <w:lang w:eastAsia="ru-RU"/>
        </w:rPr>
        <w:t>2</w:t>
      </w:r>
      <w:r w:rsidRPr="00DD506E">
        <w:rPr>
          <w:rFonts w:ascii="Arial" w:eastAsia="Times New Roman" w:hAnsi="Arial" w:cs="Arial"/>
          <w:color w:val="000000"/>
          <w:sz w:val="21"/>
          <w:szCs w:val="21"/>
          <w:lang w:eastAsia="ru-RU"/>
        </w:rPr>
        <w:t> инкубатор для выращивания культур клеток и тканей)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11. Изделия одноразового применения: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шприцы и иглы для инъекций,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скальпели в ассортименте,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маски,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перчатки смотровые, диагностические, хирургические,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бумажные нагрудные салфетки для пациентов,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полотенца для рук в контейнере,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салфетки гигиенические,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медицинское белье для медицинского персонала,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перевязочные средства,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слюноотсосы,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стаканы пластиковые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12. Инъектор стоматологический, для карпульной анестезии;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13. Камеры для хранения стерильных инструментов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14. Компрессор стоматологический (безмасляный);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15. Кресло стоматологическое;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16. Крючки хирургические, зубчатые разных размеров;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17. Лампа (облучатель) бактерицидная для помещений;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19. Место рабочее (комплект оборудования) для врача-стоматолога: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22. Набор инструментов для осмотра рта (базовый):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лоток медицинский стоматологический,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зеркало стоматологическое,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зонд стоматологический угловой,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пинцет зубоврачебный,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экскаваторы зубные,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гладилка широкая двухсторонняя,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гладилка-штопфер,</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шпатель зубоврачебный;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23. Набор инструментов в ассортименте для снятия зубных отложений: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экскаваторы,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крючки для снятия зубного камня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24. Набор инструментов для трахеотомии;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25. Набор инструментов, игл и шовного материала не менее 2 видов;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29. Наконечник стоматологический механический прямой;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30. Наконечник стоматологический механический угловой;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31. Наконечник стоматологический турбинный;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32 Ножницы в ассортименте не менее 3 на рабочее место врача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33. Отсасыватель пыли (стоматологический пылесос)</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34. Отсасыватель слюны (стоматологический слюноотсос)</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36. Очки защитные;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37. Пинцеты;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38. Прибор и средства для очистки и смазки наконечников;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39. Прибор (установка) для утилизации шприцев;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40. Скальпели (держатели) и одноразовые лезвия в ассортименте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42. Стерилизатор стоматологический для мелкого инструментария;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43. Стерилизатор суховоздушный;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44. Щитки защитные (от механического повреждения глаз)</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2</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Алгоритм визуального осмотра СОР, рекомендуемый ВОЗ (1997 год).</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w:t>
      </w:r>
      <w:r w:rsidRPr="00DD506E">
        <w:rPr>
          <w:rFonts w:ascii="Arial" w:eastAsia="Times New Roman" w:hAnsi="Arial" w:cs="Arial"/>
          <w:color w:val="000000"/>
          <w:sz w:val="21"/>
          <w:szCs w:val="21"/>
          <w:lang w:eastAsia="ru-RU"/>
        </w:rPr>
        <w:lastRenderedPageBreak/>
        <w:t>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3</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Элементы поражения кожи и слизистой оболочки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Пятно (macula)</w:t>
      </w:r>
      <w:r w:rsidRPr="00DD506E">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Узелок (nodus, papula) – </w:t>
      </w:r>
      <w:r w:rsidRPr="00DD506E">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DD506E">
        <w:rPr>
          <w:rFonts w:ascii="Arial" w:eastAsia="Times New Roman" w:hAnsi="Arial" w:cs="Arial"/>
          <w:b/>
          <w:bCs/>
          <w:color w:val="000000"/>
          <w:sz w:val="21"/>
          <w:szCs w:val="21"/>
          <w:lang w:eastAsia="ru-RU"/>
        </w:rPr>
        <w:t> бляшки </w:t>
      </w:r>
      <w:r w:rsidRPr="00DD506E">
        <w:rPr>
          <w:rFonts w:ascii="Arial" w:eastAsia="Times New Roman" w:hAnsi="Arial" w:cs="Arial"/>
          <w:color w:val="000000"/>
          <w:sz w:val="21"/>
          <w:szCs w:val="21"/>
          <w:lang w:eastAsia="ru-RU"/>
        </w:rPr>
        <w:t>(размер более 0,5 мм).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Узел (nodus)</w:t>
      </w:r>
      <w:r w:rsidRPr="00DD506E">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Бугорок (tuberculum)</w:t>
      </w:r>
      <w:r w:rsidRPr="00DD506E">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Язва (ulcus) </w:t>
      </w:r>
      <w:r w:rsidRPr="00DD506E">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Трещина (rhagades) </w:t>
      </w:r>
      <w:r w:rsidRPr="00DD506E">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Чешуйка (squama) </w:t>
      </w:r>
      <w:r w:rsidRPr="00DD506E">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lastRenderedPageBreak/>
        <w:t>Корка (crusta)</w:t>
      </w:r>
      <w:r w:rsidRPr="00DD506E">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Эрозия (erozia) </w:t>
      </w:r>
      <w:r w:rsidRPr="00DD506E">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Нарушение процессов ороговения при предраковых поражениях.</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Кератозы</w:t>
      </w:r>
      <w:r w:rsidRPr="00DD506E">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Дискератоз </w:t>
      </w:r>
      <w:r w:rsidRPr="00DD506E">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Гиперкератоз </w:t>
      </w:r>
      <w:r w:rsidRPr="00DD506E">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Паракератоз </w:t>
      </w:r>
      <w:r w:rsidRPr="00DD506E">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Акантоз </w:t>
      </w:r>
      <w:r w:rsidRPr="00DD506E">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4</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91225" cy="3200400"/>
            <wp:effectExtent l="0" t="0" r="9525" b="0"/>
            <wp:docPr id="3" name="Рисунок 3" descr="http://www.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eritroplakiy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5</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43600" cy="4229100"/>
            <wp:effectExtent l="0" t="0" r="0" b="0"/>
            <wp:docPr id="2" name="Рисунок 2" descr="http://www.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eritroplakiy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6</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i/>
          <w:iCs/>
          <w:color w:val="000000"/>
          <w:sz w:val="21"/>
          <w:szCs w:val="21"/>
          <w:lang w:eastAsia="ru-RU"/>
        </w:rPr>
        <w:t>Алгоритмы определения индексов.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Индекс гигиены Грин – Вермиллиона</w:t>
      </w:r>
      <w:r w:rsidRPr="00DD506E">
        <w:rPr>
          <w:rFonts w:ascii="Arial" w:eastAsia="Times New Roman" w:hAnsi="Arial" w:cs="Arial"/>
          <w:color w:val="000000"/>
          <w:sz w:val="21"/>
          <w:szCs w:val="21"/>
          <w:lang w:eastAsia="ru-RU"/>
        </w:rPr>
        <w:t>.</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первая компонента-это индекс зубного налета </w:t>
      </w:r>
      <w:r w:rsidRPr="00DD506E">
        <w:rPr>
          <w:rFonts w:ascii="Arial" w:eastAsia="Times New Roman" w:hAnsi="Arial" w:cs="Arial"/>
          <w:b/>
          <w:bCs/>
          <w:color w:val="000000"/>
          <w:sz w:val="21"/>
          <w:szCs w:val="21"/>
          <w:lang w:eastAsia="ru-RU"/>
        </w:rPr>
        <w:t>(DI-S)</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вторая компонента-это индекс зубного камня </w:t>
      </w:r>
      <w:r w:rsidRPr="00DD506E">
        <w:rPr>
          <w:rFonts w:ascii="Arial" w:eastAsia="Times New Roman" w:hAnsi="Arial" w:cs="Arial"/>
          <w:b/>
          <w:bCs/>
          <w:color w:val="000000"/>
          <w:sz w:val="21"/>
          <w:szCs w:val="21"/>
          <w:lang w:eastAsia="ru-RU"/>
        </w:rPr>
        <w:t>(CI-S)</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Метод</w:t>
      </w:r>
      <w:r w:rsidRPr="00DD506E">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Критерии оценки DI-S:</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0-нет налета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1-налет покрывает не более 1\3 поверхности зуба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2-налет покрывает от 1\3 до 2\3 поверхности зуба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3-налет покрывает более 2\3 поверхности зуба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Формула: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DI-S=сумма баллов/6</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Критерии оценки CI-S</w:t>
      </w:r>
      <w:r w:rsidRPr="00DD506E">
        <w:rPr>
          <w:rFonts w:ascii="Arial" w:eastAsia="Times New Roman" w:hAnsi="Arial" w:cs="Arial"/>
          <w:color w:val="000000"/>
          <w:sz w:val="21"/>
          <w:szCs w:val="21"/>
          <w:lang w:eastAsia="ru-RU"/>
        </w:rPr>
        <w:t>:</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0-нет камня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1-наддесневой камень покрывает менее 1\3 поверхности зуба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3-наддесневой камень покрывает более 2\3 поверхности зуба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Формула: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СI-S=сумма баллов/6</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OHI-S=DI-S+CI-S</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Критерии</w:t>
      </w:r>
      <w:r w:rsidRPr="00DD506E">
        <w:rPr>
          <w:rFonts w:ascii="Arial" w:eastAsia="Times New Roman" w:hAnsi="Arial" w:cs="Arial"/>
          <w:color w:val="000000"/>
          <w:sz w:val="21"/>
          <w:szCs w:val="21"/>
          <w:lang w:eastAsia="ru-RU"/>
        </w:rPr>
        <w:t> </w:t>
      </w:r>
      <w:r w:rsidRPr="00DD506E">
        <w:rPr>
          <w:rFonts w:ascii="Arial" w:eastAsia="Times New Roman" w:hAnsi="Arial" w:cs="Arial"/>
          <w:b/>
          <w:bCs/>
          <w:color w:val="000000"/>
          <w:sz w:val="21"/>
          <w:szCs w:val="21"/>
          <w:lang w:eastAsia="ru-RU"/>
        </w:rPr>
        <w:t>оценки: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0,0-0,6 низкий (гигиена хорошая)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0,7-1,6 средний (гигиена удовлетворительная)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1,7-2,5 высокий (гигиена неудовлетворительная)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2,6-6,0 очень высокий(гигиена плохая)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Индекс гигиены Силнесс-Лое.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Определяют толщину зубного налета в придесневой области зуба.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Метод:</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DD506E" w:rsidRPr="00DD506E" w:rsidTr="00DD5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r>
      <w:tr w:rsidR="00DD506E" w:rsidRPr="00DD506E" w:rsidTr="00DD5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r>
      <w:tr w:rsidR="00DD506E" w:rsidRPr="00DD506E" w:rsidTr="00DD5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r>
      <w:tr w:rsidR="00DD506E" w:rsidRPr="00DD506E" w:rsidTr="00DD5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06E" w:rsidRPr="00DD506E" w:rsidRDefault="00DD506E" w:rsidP="00DD506E">
            <w:pPr>
              <w:spacing w:after="0" w:line="240" w:lineRule="auto"/>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tc>
      </w:tr>
    </w:tbl>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 В области каждого зуба осматривают 4 участка: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-дистально- вестибулярный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-вестибулярный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-медиально- вестибулярный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-язычный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lastRenderedPageBreak/>
        <w:t>Коды и критерии: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0 </w:t>
      </w:r>
      <w:r w:rsidRPr="00DD506E">
        <w:rPr>
          <w:rFonts w:ascii="Arial" w:eastAsia="Times New Roman" w:hAnsi="Arial" w:cs="Arial"/>
          <w:color w:val="000000"/>
          <w:sz w:val="21"/>
          <w:szCs w:val="21"/>
          <w:lang w:eastAsia="ru-RU"/>
        </w:rPr>
        <w:t>- нет налета.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1 </w:t>
      </w:r>
      <w:r w:rsidRPr="00DD506E">
        <w:rPr>
          <w:rFonts w:ascii="Arial" w:eastAsia="Times New Roman" w:hAnsi="Arial" w:cs="Arial"/>
          <w:color w:val="000000"/>
          <w:sz w:val="21"/>
          <w:szCs w:val="21"/>
          <w:lang w:eastAsia="ru-RU"/>
        </w:rPr>
        <w:t>- небольшое количество налета, выявляется только зондом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2 </w:t>
      </w:r>
      <w:r w:rsidRPr="00DD506E">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3 </w:t>
      </w:r>
      <w:r w:rsidRPr="00DD506E">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4 </w:t>
      </w:r>
      <w:r w:rsidRPr="00DD506E">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Индекс кровоточивости Мюлеманна (в модификации Коуэла).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Оценочная шкала следующая: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0- если после этого кровоточивость отсутствует;</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1-если кровоточивость появляется не раньше, чем через 30с;</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Значение индекса = сумма показателей всех зубов /число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7</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w:t>
      </w:r>
      <w:r w:rsidRPr="00DD506E">
        <w:rPr>
          <w:rFonts w:ascii="Arial" w:eastAsia="Times New Roman" w:hAnsi="Arial" w:cs="Arial"/>
          <w:color w:val="000000"/>
          <w:sz w:val="21"/>
          <w:szCs w:val="21"/>
          <w:lang w:eastAsia="ru-RU"/>
        </w:rPr>
        <w:lastRenderedPageBreak/>
        <w:t>гемангиом, веррукозной лейкоплакии). Наряду с теневым рисунком очага выявлялись прилежащие сосуды.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8</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Методика взятия биопсийного материала с участка слизистой</w:t>
      </w:r>
      <w:r w:rsidRPr="00DD506E">
        <w:rPr>
          <w:rFonts w:ascii="Arial" w:eastAsia="Times New Roman" w:hAnsi="Arial" w:cs="Arial"/>
          <w:color w:val="000000"/>
          <w:sz w:val="21"/>
          <w:szCs w:val="21"/>
          <w:lang w:eastAsia="ru-RU"/>
        </w:rPr>
        <w:t> </w:t>
      </w:r>
      <w:r w:rsidRPr="00DD506E">
        <w:rPr>
          <w:rFonts w:ascii="Arial" w:eastAsia="Times New Roman" w:hAnsi="Arial" w:cs="Arial"/>
          <w:b/>
          <w:bCs/>
          <w:color w:val="000000"/>
          <w:sz w:val="21"/>
          <w:szCs w:val="21"/>
          <w:lang w:eastAsia="ru-RU"/>
        </w:rPr>
        <w:t>оболочки рта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Биопсия</w:t>
      </w:r>
      <w:r w:rsidRPr="00DD506E">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r w:rsidRPr="00DD506E">
        <w:rPr>
          <w:rFonts w:ascii="Arial" w:eastAsia="Times New Roman" w:hAnsi="Arial" w:cs="Arial"/>
          <w:b/>
          <w:bCs/>
          <w:color w:val="000000"/>
          <w:sz w:val="21"/>
          <w:szCs w:val="21"/>
          <w:lang w:eastAsia="ru-RU"/>
        </w:rPr>
        <w:t>при инцизионной биопсии</w:t>
      </w:r>
      <w:r w:rsidRPr="00DD506E">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r w:rsidRPr="00DD506E">
        <w:rPr>
          <w:rFonts w:ascii="Arial" w:eastAsia="Times New Roman" w:hAnsi="Arial" w:cs="Arial"/>
          <w:b/>
          <w:bCs/>
          <w:color w:val="000000"/>
          <w:sz w:val="21"/>
          <w:szCs w:val="21"/>
          <w:lang w:eastAsia="ru-RU"/>
        </w:rPr>
        <w:t>эксцизионная биопсия</w:t>
      </w:r>
      <w:r w:rsidRPr="00DD506E">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r w:rsidRPr="00DD506E">
        <w:rPr>
          <w:rFonts w:ascii="Arial" w:eastAsia="Times New Roman" w:hAnsi="Arial" w:cs="Arial"/>
          <w:b/>
          <w:bCs/>
          <w:color w:val="000000"/>
          <w:sz w:val="21"/>
          <w:szCs w:val="21"/>
          <w:lang w:eastAsia="ru-RU"/>
        </w:rPr>
        <w:t>трепанобиопсия</w:t>
      </w:r>
      <w:r w:rsidRPr="00DD506E">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r w:rsidRPr="00DD506E">
        <w:rPr>
          <w:rFonts w:ascii="Arial" w:eastAsia="Times New Roman" w:hAnsi="Arial" w:cs="Arial"/>
          <w:b/>
          <w:bCs/>
          <w:color w:val="000000"/>
          <w:sz w:val="21"/>
          <w:szCs w:val="21"/>
          <w:lang w:eastAsia="ru-RU"/>
        </w:rPr>
        <w:t>пункционная биопсия</w:t>
      </w:r>
      <w:r w:rsidRPr="00DD506E">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DD506E">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9</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i/>
          <w:iCs/>
          <w:color w:val="000000"/>
          <w:sz w:val="21"/>
          <w:szCs w:val="21"/>
          <w:lang w:eastAsia="ru-RU"/>
        </w:rPr>
        <w:t>Контролируемая чистка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i/>
          <w:iCs/>
          <w:color w:val="000000"/>
          <w:sz w:val="21"/>
          <w:szCs w:val="21"/>
          <w:lang w:eastAsia="ru-RU"/>
        </w:rPr>
        <w:t>Алгоритм обучения гигиене рта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DD506E">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Алгоритм контролируемой чистки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Первое посещение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Чистка зубов пациентом в его обычной манере.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Следующее посещение</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Алгоритм профессиональной гигиены рта и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Этапы профессиональной гигиены: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обучение пациента индивидуальной гигиене рта;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контролируемая чистка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удаление зубных отложений;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полирование поверхностей зубов;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устранение факторов, способствующих скоплению зубного налета;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аппликации реминерализирующих и фторидсодержащих средств;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провести обработку рта раствором антисептика;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10</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ФИО пациента (законный представитель пациента)_____________</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ФИО врача _____________</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«___»________________20___г.</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10</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Дополнительная информация для пациента: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5. </w:t>
      </w:r>
      <w:r w:rsidRPr="00DD506E">
        <w:rPr>
          <w:rFonts w:ascii="Arial" w:eastAsia="Times New Roman" w:hAnsi="Arial" w:cs="Arial"/>
          <w:color w:val="000000"/>
          <w:sz w:val="21"/>
          <w:szCs w:val="21"/>
          <w:lang w:eastAsia="ru-RU"/>
        </w:rPr>
        <w:t>Обязательно посещать плановые осмотры.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Приложение 11</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Анкета пациента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ФИО__________________________________________ Дата заполнения</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Как Вы оцениваете Ваше общее самочувствие на сегодняшний день?</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DD506E" w:rsidRPr="00DD506E" w:rsidRDefault="00DD506E" w:rsidP="00DD506E">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105275" cy="4429125"/>
            <wp:effectExtent l="0" t="0" r="9525" b="9525"/>
            <wp:docPr id="1" name="Рисунок 1" descr="http://www.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eritroplakiy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b/>
          <w:bCs/>
          <w:color w:val="000000"/>
          <w:sz w:val="21"/>
          <w:szCs w:val="21"/>
          <w:lang w:eastAsia="ru-RU"/>
        </w:rPr>
        <w:t>Список литературы:</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16. Поражения слизистой оболочки ротовой полости белого цвета</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18. Рабинович О.Ф., Рабинович И.М., Разживина Н.В., Банченко Г.В. – М., 2008. -14 с.</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DD506E" w:rsidRPr="00DD506E" w:rsidRDefault="00DD506E" w:rsidP="00DD506E">
      <w:pPr>
        <w:spacing w:after="120" w:line="240" w:lineRule="atLeast"/>
        <w:rPr>
          <w:rFonts w:ascii="Arial" w:eastAsia="Times New Roman" w:hAnsi="Arial" w:cs="Arial"/>
          <w:color w:val="000000"/>
          <w:sz w:val="21"/>
          <w:szCs w:val="21"/>
          <w:lang w:eastAsia="ru-RU"/>
        </w:rPr>
      </w:pPr>
      <w:r w:rsidRPr="00DD506E">
        <w:rPr>
          <w:rFonts w:ascii="Arial" w:eastAsia="Times New Roman" w:hAnsi="Arial" w:cs="Arial"/>
          <w:color w:val="000000"/>
          <w:sz w:val="21"/>
          <w:szCs w:val="21"/>
          <w:lang w:eastAsia="ru-RU"/>
        </w:rPr>
        <w:t>25. Banoczy J. Oral leukoplakia. Akademiai Kiado, Budapest, 1982, 231 p.</w:t>
      </w:r>
    </w:p>
    <w:p w:rsidR="00B177E8" w:rsidRDefault="00B177E8"/>
    <w:sectPr w:rsidR="00B17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6E"/>
    <w:rsid w:val="00B177E8"/>
    <w:rsid w:val="00DD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9334</Words>
  <Characters>53209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1</cp:revision>
  <dcterms:created xsi:type="dcterms:W3CDTF">2017-12-02T14:43:00Z</dcterms:created>
  <dcterms:modified xsi:type="dcterms:W3CDTF">2017-12-02T14:43:00Z</dcterms:modified>
</cp:coreProperties>
</file>